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D5BF" w14:textId="77777777" w:rsidR="005F277A" w:rsidRDefault="004318EE" w:rsidP="003C5563">
      <w:pPr>
        <w:keepNext/>
        <w:suppressLineNumbers/>
        <w:tabs>
          <w:tab w:val="left" w:pos="1020"/>
          <w:tab w:val="center" w:pos="4535"/>
        </w:tabs>
        <w:spacing w:before="120" w:after="12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 w:rsidRPr="001E5B6E">
        <w:rPr>
          <w:rFonts w:ascii="Times New Roman" w:hAnsi="Times New Roman"/>
          <w:b/>
          <w:kern w:val="24"/>
          <w:sz w:val="32"/>
          <w:szCs w:val="32"/>
        </w:rPr>
        <w:t>SZCZEGÓŁOWY OPIS PRZEDMIOTU ZAMÓWIENIA</w:t>
      </w:r>
    </w:p>
    <w:p w14:paraId="13B8E5C5" w14:textId="77777777" w:rsidR="00A746B1" w:rsidRPr="00A746B1" w:rsidRDefault="00A746B1" w:rsidP="00A746B1">
      <w:pPr>
        <w:pStyle w:val="Standard"/>
        <w:spacing w:before="360" w:after="120" w:line="276" w:lineRule="auto"/>
        <w:jc w:val="both"/>
        <w:rPr>
          <w:rFonts w:ascii="Times New Roman" w:hAnsi="Times New Roman"/>
        </w:rPr>
      </w:pPr>
      <w:r w:rsidRPr="00643B91">
        <w:rPr>
          <w:rFonts w:ascii="Times New Roman" w:hAnsi="Times New Roman"/>
        </w:rPr>
        <w:t>Na potrzeby postępowania o udzielenie zamówienia publicznego:</w:t>
      </w:r>
    </w:p>
    <w:tbl>
      <w:tblPr>
        <w:tblStyle w:val="TableGrid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17"/>
      </w:tblGrid>
      <w:tr w:rsidR="001F4A45" w:rsidRPr="008B229D" w14:paraId="34FD0DF6" w14:textId="77777777" w:rsidTr="001E5B6E">
        <w:tc>
          <w:tcPr>
            <w:tcW w:w="2127" w:type="dxa"/>
          </w:tcPr>
          <w:p w14:paraId="375360D4" w14:textId="77777777" w:rsidR="001F4A45" w:rsidRPr="008B229D" w:rsidRDefault="001F4A45" w:rsidP="001F4A45">
            <w:pPr>
              <w:spacing w:before="360"/>
              <w:ind w:left="-108"/>
              <w:rPr>
                <w:rFonts w:ascii="Times New Roman" w:hAnsi="Times New Roman"/>
              </w:rPr>
            </w:pPr>
            <w:r w:rsidRPr="008B229D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17" w:type="dxa"/>
          </w:tcPr>
          <w:p w14:paraId="14B66994" w14:textId="74C87E04" w:rsidR="001F4A45" w:rsidRPr="00BC1C3F" w:rsidRDefault="007A2B66" w:rsidP="001E5B6E">
            <w:pPr>
              <w:spacing w:before="360"/>
              <w:ind w:left="-108"/>
              <w:jc w:val="both"/>
              <w:rPr>
                <w:rFonts w:ascii="Times New Roman" w:hAnsi="Times New Roman"/>
                <w:b/>
              </w:rPr>
            </w:pPr>
            <w:bookmarkStart w:id="0" w:name="_Hlk87954008"/>
            <w:r w:rsidRPr="002F7D8A">
              <w:rPr>
                <w:rFonts w:ascii="Times New Roman" w:hAnsi="Times New Roman"/>
                <w:b/>
                <w:bCs/>
              </w:rPr>
              <w:t xml:space="preserve">Dostawa </w:t>
            </w:r>
            <w:bookmarkStart w:id="1" w:name="_Hlk87952688"/>
            <w:r>
              <w:rPr>
                <w:rFonts w:ascii="Times New Roman" w:hAnsi="Times New Roman"/>
                <w:b/>
                <w:bCs/>
              </w:rPr>
              <w:t>czterech próżniowych pomp olejowych dwustopniowych</w:t>
            </w:r>
            <w:r w:rsidRPr="002F7D8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z </w:t>
            </w:r>
            <w:r w:rsidRPr="002F7D8A">
              <w:rPr>
                <w:rFonts w:ascii="Times New Roman" w:hAnsi="Times New Roman"/>
                <w:b/>
                <w:bCs/>
              </w:rPr>
              <w:t>wyposażeniem</w:t>
            </w:r>
            <w:r>
              <w:rPr>
                <w:rFonts w:ascii="Times New Roman" w:hAnsi="Times New Roman"/>
                <w:b/>
                <w:bCs/>
              </w:rPr>
              <w:t>, w tym trzech z manometrami</w:t>
            </w:r>
            <w:bookmarkEnd w:id="1"/>
            <w:r w:rsidR="006234AB">
              <w:rPr>
                <w:rFonts w:ascii="Times New Roman" w:hAnsi="Times New Roman"/>
                <w:b/>
                <w:bCs/>
              </w:rPr>
              <w:t>.</w:t>
            </w:r>
            <w:bookmarkEnd w:id="0"/>
          </w:p>
        </w:tc>
      </w:tr>
      <w:tr w:rsidR="001F4A45" w:rsidRPr="008B229D" w14:paraId="6CCD0FB2" w14:textId="77777777" w:rsidTr="001E5B6E">
        <w:trPr>
          <w:trHeight w:val="242"/>
        </w:trPr>
        <w:tc>
          <w:tcPr>
            <w:tcW w:w="2127" w:type="dxa"/>
          </w:tcPr>
          <w:p w14:paraId="6B0D5CDF" w14:textId="77777777" w:rsidR="001F4A45" w:rsidRPr="008B229D" w:rsidRDefault="001F4A45" w:rsidP="001F4A45">
            <w:pPr>
              <w:spacing w:before="360"/>
              <w:ind w:left="-108"/>
              <w:rPr>
                <w:rFonts w:ascii="Times New Roman" w:hAnsi="Times New Roman"/>
              </w:rPr>
            </w:pPr>
            <w:r w:rsidRPr="008B229D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17" w:type="dxa"/>
          </w:tcPr>
          <w:p w14:paraId="7AB0D44A" w14:textId="378B4F5A" w:rsidR="001F4A45" w:rsidRPr="00BC1C3F" w:rsidRDefault="002F7D8A" w:rsidP="001F4A45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A7261F">
              <w:rPr>
                <w:rFonts w:ascii="Times New Roman" w:hAnsi="Times New Roman"/>
                <w:b/>
                <w:bCs/>
              </w:rPr>
              <w:t>ZP-2401-</w:t>
            </w:r>
            <w:r w:rsidR="00A7261F">
              <w:rPr>
                <w:rFonts w:ascii="Times New Roman" w:hAnsi="Times New Roman"/>
                <w:b/>
                <w:bCs/>
              </w:rPr>
              <w:t>15</w:t>
            </w:r>
            <w:r w:rsidRPr="00A7261F">
              <w:rPr>
                <w:rFonts w:ascii="Times New Roman" w:hAnsi="Times New Roman"/>
                <w:b/>
                <w:bCs/>
              </w:rPr>
              <w:t>/21</w:t>
            </w:r>
          </w:p>
        </w:tc>
      </w:tr>
      <w:tr w:rsidR="001F4A45" w:rsidRPr="008B229D" w14:paraId="07739DF9" w14:textId="77777777" w:rsidTr="001E5B6E">
        <w:tc>
          <w:tcPr>
            <w:tcW w:w="2127" w:type="dxa"/>
          </w:tcPr>
          <w:p w14:paraId="11E00066" w14:textId="77777777" w:rsidR="001F4A45" w:rsidRPr="008B229D" w:rsidRDefault="001F4A45" w:rsidP="001F4A45">
            <w:pPr>
              <w:spacing w:before="360"/>
              <w:ind w:left="-108"/>
              <w:rPr>
                <w:rFonts w:ascii="Times New Roman" w:hAnsi="Times New Roman"/>
              </w:rPr>
            </w:pPr>
            <w:r w:rsidRPr="008B229D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17" w:type="dxa"/>
          </w:tcPr>
          <w:p w14:paraId="597C0FB6" w14:textId="77777777" w:rsidR="001F4A45" w:rsidRPr="00BC1C3F" w:rsidRDefault="001F4A45" w:rsidP="001F4A45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BC1C3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1F4A45" w:rsidRPr="008B229D" w14:paraId="46FF9031" w14:textId="77777777" w:rsidTr="001E5B6E">
        <w:trPr>
          <w:trHeight w:val="80"/>
        </w:trPr>
        <w:tc>
          <w:tcPr>
            <w:tcW w:w="2127" w:type="dxa"/>
          </w:tcPr>
          <w:p w14:paraId="79801FA9" w14:textId="77777777" w:rsidR="001F4A45" w:rsidRPr="008B229D" w:rsidRDefault="001F4A45" w:rsidP="001F4A45">
            <w:pPr>
              <w:spacing w:before="360"/>
              <w:ind w:left="-108"/>
              <w:rPr>
                <w:rFonts w:ascii="Times New Roman" w:hAnsi="Times New Roman"/>
              </w:rPr>
            </w:pPr>
            <w:r w:rsidRPr="008B229D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217" w:type="dxa"/>
          </w:tcPr>
          <w:p w14:paraId="434B9E2A" w14:textId="1DAFE3D6" w:rsidR="001F4A45" w:rsidRPr="008B229D" w:rsidRDefault="001F4A45" w:rsidP="001F4A45">
            <w:pPr>
              <w:spacing w:before="360" w:line="288" w:lineRule="auto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8B229D">
              <w:rPr>
                <w:rFonts w:ascii="Times New Roman" w:hAnsi="Times New Roman"/>
                <w:b/>
                <w:bCs/>
              </w:rPr>
              <w:t xml:space="preserve">Tryb podstawowy bez negocjacji </w:t>
            </w:r>
            <w:r w:rsidRPr="008B229D">
              <w:rPr>
                <w:rFonts w:ascii="Times New Roman" w:hAnsi="Times New Roman"/>
              </w:rPr>
              <w:t>na podstawie art. 275 pkt. 1 ustawy z</w:t>
            </w:r>
            <w:r w:rsidR="008B1F82">
              <w:rPr>
                <w:rFonts w:ascii="Times New Roman" w:hAnsi="Times New Roman"/>
              </w:rPr>
              <w:t xml:space="preserve"> </w:t>
            </w:r>
            <w:r w:rsidRPr="008B229D">
              <w:rPr>
                <w:rFonts w:ascii="Times New Roman" w:hAnsi="Times New Roman"/>
              </w:rPr>
              <w:t>dnia 11 września 2019 r. Prawo zamówień publicznych (Dz. U. z 2019, poz. 2019 z </w:t>
            </w:r>
            <w:proofErr w:type="spellStart"/>
            <w:r w:rsidRPr="008B229D">
              <w:rPr>
                <w:rFonts w:ascii="Times New Roman" w:hAnsi="Times New Roman"/>
              </w:rPr>
              <w:t>późn</w:t>
            </w:r>
            <w:proofErr w:type="spellEnd"/>
            <w:r w:rsidRPr="008B229D">
              <w:rPr>
                <w:rFonts w:ascii="Times New Roman" w:hAnsi="Times New Roman"/>
              </w:rPr>
              <w:t>. zm.)</w:t>
            </w:r>
          </w:p>
        </w:tc>
      </w:tr>
      <w:tr w:rsidR="001E5B6E" w:rsidRPr="008B229D" w14:paraId="0FB6C8E1" w14:textId="77777777" w:rsidTr="001E5B6E">
        <w:trPr>
          <w:trHeight w:val="80"/>
        </w:trPr>
        <w:tc>
          <w:tcPr>
            <w:tcW w:w="2127" w:type="dxa"/>
          </w:tcPr>
          <w:p w14:paraId="554B86F5" w14:textId="77777777" w:rsidR="001E5B6E" w:rsidRPr="001E5B6E" w:rsidRDefault="001E5B6E" w:rsidP="001E5B6E">
            <w:pPr>
              <w:spacing w:before="360"/>
              <w:ind w:left="-108"/>
              <w:jc w:val="both"/>
              <w:rPr>
                <w:rFonts w:ascii="Times New Roman" w:hAnsi="Times New Roman"/>
                <w:bCs/>
              </w:rPr>
            </w:pPr>
            <w:r w:rsidRPr="001E5B6E">
              <w:rPr>
                <w:rFonts w:ascii="Times New Roman" w:hAnsi="Times New Roman"/>
                <w:bCs/>
              </w:rPr>
              <w:t xml:space="preserve">Główny kod CPV </w:t>
            </w:r>
          </w:p>
        </w:tc>
        <w:tc>
          <w:tcPr>
            <w:tcW w:w="7217" w:type="dxa"/>
          </w:tcPr>
          <w:p w14:paraId="4D855911" w14:textId="41C5203A" w:rsidR="001E5B6E" w:rsidRPr="00EA1E3A" w:rsidRDefault="00D80A8F" w:rsidP="002F7D8A">
            <w:pPr>
              <w:spacing w:before="360"/>
              <w:ind w:left="-108"/>
              <w:jc w:val="both"/>
              <w:rPr>
                <w:b/>
              </w:rPr>
            </w:pPr>
            <w:bookmarkStart w:id="2" w:name="_Hlk87952550"/>
            <w:r w:rsidRPr="00EA1E3A">
              <w:rPr>
                <w:rFonts w:ascii="Times New Roman" w:hAnsi="Times New Roman"/>
                <w:b/>
              </w:rPr>
              <w:t>4212500-</w:t>
            </w:r>
            <w:proofErr w:type="gramStart"/>
            <w:r w:rsidRPr="00EA1E3A">
              <w:rPr>
                <w:rFonts w:ascii="Times New Roman" w:hAnsi="Times New Roman"/>
                <w:b/>
              </w:rPr>
              <w:t>5</w:t>
            </w:r>
            <w:r w:rsidR="001E5B6E" w:rsidRPr="00EA1E3A">
              <w:rPr>
                <w:rFonts w:ascii="Times New Roman" w:hAnsi="Times New Roman"/>
                <w:b/>
              </w:rPr>
              <w:t xml:space="preserve"> </w:t>
            </w:r>
            <w:r w:rsidR="002F7D8A" w:rsidRPr="00EA1E3A">
              <w:rPr>
                <w:rFonts w:ascii="Times New Roman" w:hAnsi="Times New Roman"/>
                <w:b/>
              </w:rPr>
              <w:t xml:space="preserve"> </w:t>
            </w:r>
            <w:r w:rsidR="001E5B6E" w:rsidRPr="00EA1E3A">
              <w:rPr>
                <w:rFonts w:ascii="Times New Roman" w:hAnsi="Times New Roman"/>
                <w:b/>
              </w:rPr>
              <w:t>-</w:t>
            </w:r>
            <w:proofErr w:type="gramEnd"/>
            <w:r w:rsidR="001E5B6E" w:rsidRPr="00EA1E3A">
              <w:rPr>
                <w:rFonts w:ascii="Times New Roman" w:hAnsi="Times New Roman"/>
                <w:b/>
              </w:rPr>
              <w:t xml:space="preserve"> </w:t>
            </w:r>
            <w:r w:rsidR="002F7D8A" w:rsidRPr="00EA1E3A">
              <w:rPr>
                <w:rFonts w:ascii="Times New Roman" w:hAnsi="Times New Roman"/>
                <w:b/>
              </w:rPr>
              <w:t xml:space="preserve"> </w:t>
            </w:r>
            <w:r w:rsidRPr="00EA1E3A">
              <w:rPr>
                <w:rFonts w:ascii="Times New Roman" w:hAnsi="Times New Roman"/>
                <w:b/>
              </w:rPr>
              <w:t>Pompy laboratoryjne i akcesoria</w:t>
            </w:r>
            <w:r w:rsidR="001E5B6E" w:rsidRPr="00EA1E3A">
              <w:rPr>
                <w:b/>
              </w:rPr>
              <w:t xml:space="preserve"> </w:t>
            </w:r>
            <w:bookmarkEnd w:id="2"/>
          </w:p>
        </w:tc>
      </w:tr>
    </w:tbl>
    <w:p w14:paraId="72452232" w14:textId="77777777" w:rsidR="004318EE" w:rsidRDefault="004318EE" w:rsidP="001F4A4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13DDCC9" w14:textId="0576C685" w:rsidR="001F4A45" w:rsidRDefault="000579B0" w:rsidP="002F4DFF">
      <w:pPr>
        <w:spacing w:before="240" w:after="240" w:line="276" w:lineRule="auto"/>
        <w:jc w:val="both"/>
        <w:rPr>
          <w:rFonts w:ascii="Times New Roman" w:hAnsi="Times New Roman"/>
          <w:b/>
          <w:bCs/>
        </w:rPr>
      </w:pPr>
      <w:r w:rsidRPr="002F4DFF">
        <w:rPr>
          <w:rFonts w:ascii="Times New Roman" w:hAnsi="Times New Roman"/>
          <w:b/>
          <w:bCs/>
        </w:rPr>
        <w:t>Wymagane parametry – opis</w:t>
      </w:r>
      <w:r w:rsidR="008B1F82">
        <w:rPr>
          <w:rFonts w:ascii="Times New Roman" w:hAnsi="Times New Roman"/>
          <w:b/>
          <w:bCs/>
        </w:rPr>
        <w:t xml:space="preserve"> wymagań</w:t>
      </w:r>
      <w:r w:rsidR="002F4DFF" w:rsidRPr="002F4DFF">
        <w:rPr>
          <w:rFonts w:ascii="Times New Roman" w:hAnsi="Times New Roman"/>
          <w:b/>
          <w:bCs/>
        </w:rPr>
        <w:t>:</w:t>
      </w:r>
    </w:p>
    <w:p w14:paraId="209F22F0" w14:textId="2EBB6830" w:rsidR="002F7D8A" w:rsidRPr="008B1F82" w:rsidRDefault="00F243A3" w:rsidP="008B1F82">
      <w:pPr>
        <w:pStyle w:val="Heading1"/>
      </w:pPr>
      <w:r>
        <w:t>Próżniowe p</w:t>
      </w:r>
      <w:r w:rsidR="00ED727B">
        <w:t>ompy</w:t>
      </w:r>
      <w:r>
        <w:t xml:space="preserve"> olejowe </w:t>
      </w:r>
      <w:r w:rsidRPr="00F243A3">
        <w:rPr>
          <w:sz w:val="24"/>
          <w:szCs w:val="24"/>
        </w:rPr>
        <w:t>dwustopniowe</w:t>
      </w:r>
      <w:r w:rsidR="00E76473" w:rsidRPr="00F243A3">
        <w:rPr>
          <w:sz w:val="24"/>
          <w:szCs w:val="24"/>
        </w:rPr>
        <w:t xml:space="preserve"> (4 sztuki)</w:t>
      </w:r>
      <w:r w:rsidRPr="00F243A3">
        <w:rPr>
          <w:sz w:val="24"/>
          <w:szCs w:val="24"/>
        </w:rPr>
        <w:t xml:space="preserve"> o parametrach nie gorszych niż</w:t>
      </w:r>
      <w:r w:rsidR="002F7D8A" w:rsidRPr="00F243A3">
        <w:rPr>
          <w:sz w:val="24"/>
          <w:szCs w:val="24"/>
        </w:rPr>
        <w:t>:</w:t>
      </w:r>
    </w:p>
    <w:p w14:paraId="21BAD10E" w14:textId="01192C87" w:rsidR="00ED727B" w:rsidRPr="00ED727B" w:rsidRDefault="00ED727B" w:rsidP="004172AB">
      <w:pPr>
        <w:pStyle w:val="Heading2"/>
        <w:numPr>
          <w:ilvl w:val="1"/>
          <w:numId w:val="4"/>
        </w:numPr>
        <w:ind w:left="851" w:hanging="425"/>
        <w:rPr>
          <w:sz w:val="22"/>
          <w:szCs w:val="22"/>
        </w:rPr>
      </w:pPr>
      <w:r>
        <w:rPr>
          <w:color w:val="000000"/>
          <w:lang w:val="pl-PL"/>
        </w:rPr>
        <w:t>W</w:t>
      </w:r>
      <w:r w:rsidRPr="005F624F">
        <w:rPr>
          <w:color w:val="000000"/>
          <w:lang w:val="pl-PL"/>
        </w:rPr>
        <w:t>yposażon</w:t>
      </w:r>
      <w:r>
        <w:rPr>
          <w:color w:val="000000"/>
          <w:lang w:val="pl-PL"/>
        </w:rPr>
        <w:t>e</w:t>
      </w:r>
      <w:r w:rsidRPr="005F624F">
        <w:rPr>
          <w:color w:val="000000"/>
          <w:lang w:val="pl-PL"/>
        </w:rPr>
        <w:t xml:space="preserve"> w zawór zwrotny zapobiegający cofaniu się oleju</w:t>
      </w:r>
    </w:p>
    <w:p w14:paraId="29872B5E" w14:textId="3BD0FFEB" w:rsidR="00ED727B" w:rsidRDefault="0005236D" w:rsidP="004172AB">
      <w:pPr>
        <w:pStyle w:val="Heading2"/>
        <w:numPr>
          <w:ilvl w:val="1"/>
          <w:numId w:val="4"/>
        </w:numPr>
        <w:ind w:left="851" w:hanging="425"/>
        <w:rPr>
          <w:sz w:val="22"/>
          <w:szCs w:val="22"/>
        </w:rPr>
      </w:pPr>
      <w:r>
        <w:rPr>
          <w:sz w:val="22"/>
          <w:szCs w:val="22"/>
        </w:rPr>
        <w:t>W</w:t>
      </w:r>
      <w:r w:rsidR="00ED727B" w:rsidRPr="00ED727B">
        <w:rPr>
          <w:sz w:val="22"/>
          <w:szCs w:val="22"/>
        </w:rPr>
        <w:t>yposażona w zawór gazowy balastowy lub przeznaczona do pracy ciągłej.</w:t>
      </w:r>
    </w:p>
    <w:p w14:paraId="3E68DEF1" w14:textId="188C1008" w:rsidR="002F7D8A" w:rsidRPr="00C50610" w:rsidRDefault="00C50610" w:rsidP="004172AB">
      <w:pPr>
        <w:pStyle w:val="Heading2"/>
        <w:numPr>
          <w:ilvl w:val="1"/>
          <w:numId w:val="4"/>
        </w:numPr>
        <w:ind w:left="851" w:hanging="425"/>
        <w:rPr>
          <w:sz w:val="22"/>
          <w:szCs w:val="22"/>
        </w:rPr>
      </w:pPr>
      <w:r>
        <w:rPr>
          <w:color w:val="000000"/>
          <w:lang w:val="pl-PL"/>
        </w:rPr>
        <w:t>E</w:t>
      </w:r>
      <w:r w:rsidRPr="005F624F">
        <w:rPr>
          <w:color w:val="000000"/>
          <w:lang w:val="pl-PL"/>
        </w:rPr>
        <w:t>lementy wewnętrzne wykonane w technologii zmniejszającej wpływ chemikaliów oraz czynników korozyjnych.</w:t>
      </w:r>
    </w:p>
    <w:p w14:paraId="643AFF33" w14:textId="23AE8BBF" w:rsidR="00BF14CB" w:rsidRPr="00BF14CB" w:rsidRDefault="00BF14CB" w:rsidP="004172AB">
      <w:pPr>
        <w:pStyle w:val="Heading2"/>
        <w:numPr>
          <w:ilvl w:val="1"/>
          <w:numId w:val="4"/>
        </w:numPr>
        <w:ind w:left="851" w:hanging="425"/>
        <w:rPr>
          <w:sz w:val="22"/>
          <w:szCs w:val="22"/>
        </w:rPr>
      </w:pPr>
      <w:r>
        <w:rPr>
          <w:color w:val="000000"/>
          <w:lang w:val="pl-PL"/>
        </w:rPr>
        <w:t>Z</w:t>
      </w:r>
      <w:r w:rsidRPr="005F624F">
        <w:rPr>
          <w:color w:val="000000"/>
          <w:lang w:val="pl-PL"/>
        </w:rPr>
        <w:t xml:space="preserve">biornik oleju o pojemności nie mniejszej niż </w:t>
      </w:r>
      <w:r w:rsidR="00C044E8">
        <w:rPr>
          <w:color w:val="000000"/>
          <w:lang w:val="pl-PL"/>
        </w:rPr>
        <w:t>7</w:t>
      </w:r>
      <w:r w:rsidRPr="005F624F">
        <w:rPr>
          <w:color w:val="000000"/>
          <w:lang w:val="pl-PL"/>
        </w:rPr>
        <w:t>00 ml.</w:t>
      </w:r>
    </w:p>
    <w:p w14:paraId="356A41B4" w14:textId="06B607B6" w:rsidR="00BF14CB" w:rsidRPr="00BF14CB" w:rsidRDefault="00BF14CB" w:rsidP="004172AB">
      <w:pPr>
        <w:pStyle w:val="Heading2"/>
        <w:numPr>
          <w:ilvl w:val="1"/>
          <w:numId w:val="4"/>
        </w:numPr>
        <w:ind w:left="851" w:hanging="425"/>
        <w:rPr>
          <w:sz w:val="22"/>
          <w:szCs w:val="22"/>
        </w:rPr>
      </w:pPr>
      <w:r>
        <w:rPr>
          <w:color w:val="000000"/>
          <w:lang w:val="pl-PL"/>
        </w:rPr>
        <w:t>E</w:t>
      </w:r>
      <w:r w:rsidRPr="005F624F">
        <w:rPr>
          <w:color w:val="000000"/>
          <w:lang w:val="pl-PL"/>
        </w:rPr>
        <w:t>mitująca poziom hałasu nie większy niż 5</w:t>
      </w:r>
      <w:r w:rsidR="00C044E8">
        <w:rPr>
          <w:color w:val="000000"/>
          <w:lang w:val="pl-PL"/>
        </w:rPr>
        <w:t>5</w:t>
      </w:r>
      <w:r w:rsidRPr="005F624F">
        <w:rPr>
          <w:color w:val="000000"/>
          <w:lang w:val="pl-PL"/>
        </w:rPr>
        <w:t xml:space="preserve"> </w:t>
      </w:r>
      <w:proofErr w:type="spellStart"/>
      <w:r w:rsidRPr="005F624F">
        <w:rPr>
          <w:color w:val="000000"/>
          <w:lang w:val="pl-PL"/>
        </w:rPr>
        <w:t>dB</w:t>
      </w:r>
      <w:proofErr w:type="spellEnd"/>
      <w:r w:rsidRPr="005F624F">
        <w:rPr>
          <w:color w:val="000000"/>
          <w:lang w:val="pl-PL"/>
        </w:rPr>
        <w:t>.</w:t>
      </w:r>
    </w:p>
    <w:p w14:paraId="7EB9C9E2" w14:textId="48E1F6A8" w:rsidR="00BF14CB" w:rsidRPr="00BF14CB" w:rsidRDefault="00BF14CB" w:rsidP="004172AB">
      <w:pPr>
        <w:pStyle w:val="Heading2"/>
        <w:numPr>
          <w:ilvl w:val="1"/>
          <w:numId w:val="4"/>
        </w:numPr>
        <w:ind w:left="851" w:hanging="425"/>
        <w:rPr>
          <w:sz w:val="22"/>
          <w:szCs w:val="22"/>
        </w:rPr>
      </w:pPr>
      <w:r>
        <w:rPr>
          <w:color w:val="000000"/>
        </w:rPr>
        <w:t>Zasilanie 230V 50/60 Hz.</w:t>
      </w:r>
    </w:p>
    <w:p w14:paraId="1FC05EBA" w14:textId="67B8947A" w:rsidR="00BF14CB" w:rsidRPr="00BF14CB" w:rsidRDefault="00BF14CB" w:rsidP="004172AB">
      <w:pPr>
        <w:pStyle w:val="Heading2"/>
        <w:numPr>
          <w:ilvl w:val="1"/>
          <w:numId w:val="4"/>
        </w:numPr>
        <w:ind w:left="851" w:hanging="425"/>
        <w:rPr>
          <w:sz w:val="22"/>
          <w:szCs w:val="22"/>
        </w:rPr>
      </w:pPr>
      <w:r>
        <w:rPr>
          <w:color w:val="000000"/>
          <w:lang w:val="pl-PL"/>
        </w:rPr>
        <w:t>M</w:t>
      </w:r>
      <w:r w:rsidRPr="005F624F">
        <w:rPr>
          <w:color w:val="000000"/>
          <w:lang w:val="pl-PL"/>
        </w:rPr>
        <w:t xml:space="preserve">aksymalna szybkość pompowania przy 60 </w:t>
      </w:r>
      <w:proofErr w:type="spellStart"/>
      <w:r w:rsidRPr="005F624F">
        <w:rPr>
          <w:color w:val="000000"/>
          <w:lang w:val="pl-PL"/>
        </w:rPr>
        <w:t>Hz</w:t>
      </w:r>
      <w:proofErr w:type="spellEnd"/>
      <w:r w:rsidRPr="005F624F">
        <w:rPr>
          <w:color w:val="000000"/>
          <w:lang w:val="pl-PL"/>
        </w:rPr>
        <w:t xml:space="preserve"> w m3/h nie mniejsza niż 6.</w:t>
      </w:r>
    </w:p>
    <w:p w14:paraId="12617EA8" w14:textId="3C82A417" w:rsidR="00BF14CB" w:rsidRPr="000B6EE0" w:rsidRDefault="00BF14CB" w:rsidP="004172AB">
      <w:pPr>
        <w:pStyle w:val="Heading2"/>
        <w:numPr>
          <w:ilvl w:val="1"/>
          <w:numId w:val="4"/>
        </w:numPr>
        <w:ind w:left="851" w:hanging="425"/>
        <w:rPr>
          <w:sz w:val="22"/>
          <w:szCs w:val="22"/>
        </w:rPr>
      </w:pPr>
      <w:r>
        <w:rPr>
          <w:color w:val="000000"/>
          <w:lang w:val="pl-PL"/>
        </w:rPr>
        <w:t>P</w:t>
      </w:r>
      <w:r w:rsidRPr="005F624F">
        <w:rPr>
          <w:color w:val="000000"/>
          <w:lang w:val="pl-PL"/>
        </w:rPr>
        <w:t xml:space="preserve">różnia końcowa w </w:t>
      </w:r>
      <w:proofErr w:type="spellStart"/>
      <w:r w:rsidRPr="005F624F">
        <w:rPr>
          <w:color w:val="000000"/>
          <w:lang w:val="pl-PL"/>
        </w:rPr>
        <w:t>mbar</w:t>
      </w:r>
      <w:proofErr w:type="spellEnd"/>
      <w:r w:rsidRPr="005F624F">
        <w:rPr>
          <w:color w:val="000000"/>
          <w:lang w:val="pl-PL"/>
        </w:rPr>
        <w:t xml:space="preserve"> baz balastu gazu nie mniejsza niż 2x10</w:t>
      </w:r>
      <w:r w:rsidRPr="005F624F">
        <w:rPr>
          <w:color w:val="000000"/>
          <w:vertAlign w:val="superscript"/>
          <w:lang w:val="pl-PL"/>
        </w:rPr>
        <w:t>-3</w:t>
      </w:r>
      <w:r w:rsidRPr="005F624F">
        <w:rPr>
          <w:color w:val="000000"/>
          <w:lang w:val="pl-PL"/>
        </w:rPr>
        <w:t>.</w:t>
      </w:r>
    </w:p>
    <w:p w14:paraId="2B596213" w14:textId="4223BE71" w:rsidR="000B6EE0" w:rsidRPr="008B1F82" w:rsidRDefault="000B6EE0" w:rsidP="000B6EE0">
      <w:pPr>
        <w:pStyle w:val="Heading1"/>
      </w:pPr>
      <w:r>
        <w:t>Manomentry</w:t>
      </w:r>
      <w:r w:rsidR="00E76473">
        <w:t xml:space="preserve"> (3 </w:t>
      </w:r>
      <w:r w:rsidR="00E76473" w:rsidRPr="00F243A3">
        <w:rPr>
          <w:sz w:val="24"/>
          <w:szCs w:val="24"/>
        </w:rPr>
        <w:t>sztuki)</w:t>
      </w:r>
      <w:r w:rsidR="00F243A3" w:rsidRPr="00F243A3">
        <w:rPr>
          <w:sz w:val="24"/>
          <w:szCs w:val="24"/>
        </w:rPr>
        <w:t xml:space="preserve"> o parametrach nie gorszych niż</w:t>
      </w:r>
      <w:r w:rsidRPr="00F243A3">
        <w:rPr>
          <w:sz w:val="24"/>
          <w:szCs w:val="24"/>
        </w:rPr>
        <w:t>:</w:t>
      </w:r>
    </w:p>
    <w:p w14:paraId="7ADDD5A0" w14:textId="71F8DDFC" w:rsidR="000B6EE0" w:rsidRDefault="000B6EE0" w:rsidP="000B6EE0">
      <w:pPr>
        <w:pStyle w:val="Heading2"/>
        <w:numPr>
          <w:ilvl w:val="1"/>
          <w:numId w:val="17"/>
        </w:numPr>
        <w:ind w:left="851"/>
        <w:rPr>
          <w:sz w:val="22"/>
          <w:szCs w:val="22"/>
        </w:rPr>
      </w:pPr>
      <w:r w:rsidRPr="000B6EE0">
        <w:rPr>
          <w:sz w:val="22"/>
          <w:szCs w:val="22"/>
        </w:rPr>
        <w:t>Zakres pomiarowy:</w:t>
      </w:r>
      <w:r w:rsidR="00661A3D">
        <w:rPr>
          <w:sz w:val="22"/>
          <w:szCs w:val="22"/>
        </w:rPr>
        <w:t xml:space="preserve"> od </w:t>
      </w:r>
      <w:r w:rsidRPr="000B6EE0">
        <w:rPr>
          <w:sz w:val="22"/>
          <w:szCs w:val="22"/>
        </w:rPr>
        <w:t>1100 do 0,001</w:t>
      </w:r>
      <w:r w:rsidR="00672F36">
        <w:rPr>
          <w:sz w:val="22"/>
          <w:szCs w:val="22"/>
        </w:rPr>
        <w:t xml:space="preserve"> </w:t>
      </w:r>
      <w:r w:rsidRPr="000B6EE0">
        <w:rPr>
          <w:sz w:val="22"/>
          <w:szCs w:val="22"/>
        </w:rPr>
        <w:t>mbar</w:t>
      </w:r>
    </w:p>
    <w:p w14:paraId="26EA4530" w14:textId="13C68F67" w:rsidR="00661A3D" w:rsidRDefault="006E62A9" w:rsidP="000B6EE0">
      <w:pPr>
        <w:pStyle w:val="Heading2"/>
        <w:numPr>
          <w:ilvl w:val="1"/>
          <w:numId w:val="17"/>
        </w:numPr>
        <w:ind w:left="851"/>
        <w:rPr>
          <w:sz w:val="22"/>
          <w:szCs w:val="22"/>
        </w:rPr>
      </w:pPr>
      <w:r w:rsidRPr="006E62A9">
        <w:rPr>
          <w:sz w:val="22"/>
          <w:szCs w:val="22"/>
        </w:rPr>
        <w:t xml:space="preserve">Dokładność nie więcej niż ±15 % wskazanej wartości w zakresie od 0,01 do </w:t>
      </w:r>
      <w:r w:rsidRPr="006E62A9">
        <w:rPr>
          <w:color w:val="FF0000"/>
          <w:sz w:val="22"/>
          <w:szCs w:val="22"/>
        </w:rPr>
        <w:t xml:space="preserve">100 mbar </w:t>
      </w:r>
      <w:r w:rsidRPr="006E62A9">
        <w:rPr>
          <w:sz w:val="22"/>
          <w:szCs w:val="22"/>
        </w:rPr>
        <w:t xml:space="preserve">oraz nie więcej niż </w:t>
      </w:r>
      <w:r w:rsidR="009A0F95" w:rsidRPr="009A0F95">
        <w:rPr>
          <w:color w:val="FF0000"/>
          <w:sz w:val="22"/>
          <w:szCs w:val="22"/>
        </w:rPr>
        <w:t>±</w:t>
      </w:r>
      <w:r w:rsidRPr="006E62A9">
        <w:rPr>
          <w:color w:val="FF0000"/>
          <w:sz w:val="22"/>
          <w:szCs w:val="22"/>
        </w:rPr>
        <w:t>5% dla &gt; 100 mbar</w:t>
      </w:r>
      <w:r w:rsidRPr="006E62A9">
        <w:rPr>
          <w:sz w:val="22"/>
          <w:szCs w:val="22"/>
        </w:rPr>
        <w:t>.</w:t>
      </w:r>
    </w:p>
    <w:p w14:paraId="37CC3A78" w14:textId="293F85C0" w:rsidR="00661A3D" w:rsidRDefault="00661A3D" w:rsidP="000B6EE0">
      <w:pPr>
        <w:pStyle w:val="Heading2"/>
        <w:numPr>
          <w:ilvl w:val="1"/>
          <w:numId w:val="17"/>
        </w:numPr>
        <w:ind w:left="851"/>
        <w:rPr>
          <w:sz w:val="22"/>
          <w:szCs w:val="22"/>
        </w:rPr>
      </w:pPr>
      <w:r>
        <w:rPr>
          <w:sz w:val="22"/>
          <w:szCs w:val="22"/>
        </w:rPr>
        <w:t>Podświetlany w</w:t>
      </w:r>
      <w:r w:rsidRPr="00661A3D">
        <w:rPr>
          <w:sz w:val="22"/>
          <w:szCs w:val="22"/>
        </w:rPr>
        <w:t>yświetlacz</w:t>
      </w:r>
      <w:r>
        <w:rPr>
          <w:sz w:val="22"/>
          <w:szCs w:val="22"/>
        </w:rPr>
        <w:t xml:space="preserve"> ciśnienia wraz</w:t>
      </w:r>
      <w:r w:rsidRPr="00661A3D">
        <w:rPr>
          <w:sz w:val="22"/>
          <w:szCs w:val="22"/>
        </w:rPr>
        <w:t xml:space="preserve"> z menu obsługi</w:t>
      </w:r>
      <w:r>
        <w:rPr>
          <w:sz w:val="22"/>
          <w:szCs w:val="22"/>
        </w:rPr>
        <w:t>.</w:t>
      </w:r>
    </w:p>
    <w:p w14:paraId="0A2AC02C" w14:textId="4EBCD040" w:rsidR="00661A3D" w:rsidRDefault="00661A3D" w:rsidP="000B6EE0">
      <w:pPr>
        <w:pStyle w:val="Heading2"/>
        <w:numPr>
          <w:ilvl w:val="1"/>
          <w:numId w:val="17"/>
        </w:numPr>
        <w:ind w:left="851"/>
        <w:rPr>
          <w:sz w:val="22"/>
          <w:szCs w:val="22"/>
        </w:rPr>
      </w:pPr>
      <w:r>
        <w:rPr>
          <w:sz w:val="22"/>
          <w:szCs w:val="22"/>
        </w:rPr>
        <w:t xml:space="preserve">Zasilanie </w:t>
      </w:r>
      <w:r w:rsidRPr="00661A3D">
        <w:rPr>
          <w:sz w:val="22"/>
          <w:szCs w:val="22"/>
        </w:rPr>
        <w:t>230 V, 50/60 Hz</w:t>
      </w:r>
    </w:p>
    <w:p w14:paraId="2DBE6D2F" w14:textId="07629793" w:rsidR="00661A3D" w:rsidRDefault="00661A3D" w:rsidP="00661A3D">
      <w:pPr>
        <w:pStyle w:val="Heading1"/>
      </w:pPr>
      <w:r>
        <w:t>Dodatkowe wyposażenie</w:t>
      </w:r>
      <w:r w:rsidRPr="008B1F82">
        <w:t>:</w:t>
      </w:r>
    </w:p>
    <w:p w14:paraId="5D2C0BD5" w14:textId="00E98BEA" w:rsidR="00661A3D" w:rsidRDefault="004C1374" w:rsidP="00661A3D">
      <w:pPr>
        <w:pStyle w:val="Heading2"/>
        <w:numPr>
          <w:ilvl w:val="1"/>
          <w:numId w:val="18"/>
        </w:numPr>
        <w:ind w:left="851"/>
        <w:rPr>
          <w:sz w:val="22"/>
          <w:szCs w:val="22"/>
        </w:rPr>
      </w:pPr>
      <w:r>
        <w:rPr>
          <w:sz w:val="22"/>
          <w:szCs w:val="22"/>
        </w:rPr>
        <w:t>A</w:t>
      </w:r>
      <w:r w:rsidR="00924118">
        <w:rPr>
          <w:sz w:val="22"/>
          <w:szCs w:val="22"/>
        </w:rPr>
        <w:t xml:space="preserve">rmatura próżniowa niezbędna do podłączenia zarówno pompy jak i manomentrów do </w:t>
      </w:r>
      <w:r w:rsidR="00E906C5">
        <w:rPr>
          <w:sz w:val="22"/>
          <w:szCs w:val="22"/>
        </w:rPr>
        <w:t>w</w:t>
      </w:r>
      <w:r w:rsidR="00924118">
        <w:rPr>
          <w:sz w:val="22"/>
          <w:szCs w:val="22"/>
        </w:rPr>
        <w:t xml:space="preserve">ęża ciśnieniowego </w:t>
      </w:r>
      <w:r w:rsidR="00E906C5">
        <w:rPr>
          <w:sz w:val="22"/>
          <w:szCs w:val="22"/>
        </w:rPr>
        <w:t xml:space="preserve">próżniowego </w:t>
      </w:r>
      <w:r w:rsidR="00924118">
        <w:rPr>
          <w:sz w:val="22"/>
          <w:szCs w:val="22"/>
        </w:rPr>
        <w:t>o wewnętrznej średnicy 7 mm</w:t>
      </w:r>
      <w:r w:rsidR="00E76473">
        <w:rPr>
          <w:sz w:val="22"/>
          <w:szCs w:val="22"/>
        </w:rPr>
        <w:t xml:space="preserve"> (3 sztuki)</w:t>
      </w:r>
    </w:p>
    <w:p w14:paraId="1AA931F4" w14:textId="1C6A3701" w:rsidR="00E76473" w:rsidRPr="00E76473" w:rsidRDefault="00E76473" w:rsidP="00E76473">
      <w:pPr>
        <w:pStyle w:val="Heading2"/>
        <w:numPr>
          <w:ilvl w:val="1"/>
          <w:numId w:val="18"/>
        </w:numPr>
        <w:ind w:left="851"/>
        <w:rPr>
          <w:sz w:val="22"/>
          <w:szCs w:val="22"/>
        </w:rPr>
      </w:pPr>
      <w:r>
        <w:rPr>
          <w:sz w:val="22"/>
          <w:szCs w:val="22"/>
        </w:rPr>
        <w:lastRenderedPageBreak/>
        <w:t>Armatura próżniowa niezbędna do podłączenia pompy do węża ciśnieniowego próżniowego o wewnętrznej średnicy 7 mm (1 sztuka)</w:t>
      </w:r>
    </w:p>
    <w:p w14:paraId="40E26F69" w14:textId="77777777" w:rsidR="002F7D8A" w:rsidRPr="000A55E4" w:rsidRDefault="002F7D8A" w:rsidP="008B1F82">
      <w:pPr>
        <w:pStyle w:val="Heading1"/>
      </w:pPr>
      <w:r w:rsidRPr="000A55E4">
        <w:t>Dostawa</w:t>
      </w:r>
      <w:r>
        <w:t>:</w:t>
      </w:r>
      <w:r w:rsidRPr="000A55E4">
        <w:t xml:space="preserve"> </w:t>
      </w:r>
    </w:p>
    <w:p w14:paraId="49D8F220" w14:textId="2CA3B52D" w:rsidR="002F7D8A" w:rsidRPr="00CE3C90" w:rsidRDefault="002F7D8A" w:rsidP="004172AB">
      <w:pPr>
        <w:pStyle w:val="Heading2"/>
        <w:numPr>
          <w:ilvl w:val="1"/>
          <w:numId w:val="14"/>
        </w:numPr>
        <w:ind w:left="851" w:hanging="425"/>
        <w:rPr>
          <w:sz w:val="22"/>
          <w:szCs w:val="22"/>
        </w:rPr>
      </w:pPr>
      <w:r w:rsidRPr="00CE3C90">
        <w:rPr>
          <w:sz w:val="22"/>
          <w:szCs w:val="22"/>
        </w:rPr>
        <w:t xml:space="preserve">Do </w:t>
      </w:r>
      <w:r w:rsidR="00D80A8F">
        <w:rPr>
          <w:sz w:val="22"/>
          <w:szCs w:val="22"/>
        </w:rPr>
        <w:t>5</w:t>
      </w:r>
      <w:r w:rsidR="00C81BE2" w:rsidRPr="00CE3C90">
        <w:rPr>
          <w:sz w:val="22"/>
          <w:szCs w:val="22"/>
        </w:rPr>
        <w:t xml:space="preserve"> </w:t>
      </w:r>
      <w:r w:rsidR="00C044E8">
        <w:rPr>
          <w:sz w:val="22"/>
          <w:szCs w:val="22"/>
        </w:rPr>
        <w:t>tygo</w:t>
      </w:r>
      <w:r w:rsidR="00C81BE2" w:rsidRPr="00CE3C90">
        <w:rPr>
          <w:sz w:val="22"/>
          <w:szCs w:val="22"/>
        </w:rPr>
        <w:t xml:space="preserve">dni </w:t>
      </w:r>
      <w:r w:rsidRPr="00CE3C90">
        <w:rPr>
          <w:sz w:val="22"/>
          <w:szCs w:val="22"/>
        </w:rPr>
        <w:t xml:space="preserve">od daty zawarcia umowy. </w:t>
      </w:r>
    </w:p>
    <w:p w14:paraId="1CFD9BC7" w14:textId="06771132" w:rsidR="000457FD" w:rsidRPr="00722003" w:rsidRDefault="00672F36" w:rsidP="004172AB">
      <w:pPr>
        <w:pStyle w:val="Heading2"/>
        <w:numPr>
          <w:ilvl w:val="1"/>
          <w:numId w:val="5"/>
        </w:numPr>
        <w:ind w:left="851" w:hanging="425"/>
        <w:rPr>
          <w:sz w:val="22"/>
          <w:szCs w:val="22"/>
        </w:rPr>
      </w:pPr>
      <w:r w:rsidRPr="00672F36">
        <w:rPr>
          <w:sz w:val="22"/>
          <w:szCs w:val="22"/>
        </w:rPr>
        <w:t>Obejmuje dostawę do wskazanego pomieszczenia w siedzibie Zamawiającego, na koszt i ryzyko Wykonawcy, jego montaż i uruchomienie oraz przeszkolenie użytkowników w zakresie jego eksploatacji.</w:t>
      </w:r>
    </w:p>
    <w:p w14:paraId="42B7FD65" w14:textId="77777777" w:rsidR="002F7D8A" w:rsidRPr="000A55E4" w:rsidRDefault="002F7D8A" w:rsidP="008B1F82">
      <w:pPr>
        <w:pStyle w:val="Heading1"/>
        <w:rPr>
          <w:lang w:eastAsia="pl-PL"/>
        </w:rPr>
      </w:pPr>
      <w:r w:rsidRPr="000A55E4">
        <w:t>Gwarancja</w:t>
      </w:r>
      <w:r w:rsidRPr="000A55E4">
        <w:rPr>
          <w:lang w:eastAsia="pl-PL"/>
        </w:rPr>
        <w:t xml:space="preserve">: </w:t>
      </w:r>
    </w:p>
    <w:p w14:paraId="2780E143" w14:textId="13A7D19E" w:rsidR="002F7D8A" w:rsidRDefault="002F7D8A" w:rsidP="004172AB">
      <w:pPr>
        <w:pStyle w:val="Heading2"/>
        <w:numPr>
          <w:ilvl w:val="1"/>
          <w:numId w:val="15"/>
        </w:numPr>
        <w:ind w:left="851" w:hanging="425"/>
        <w:rPr>
          <w:sz w:val="22"/>
          <w:szCs w:val="22"/>
        </w:rPr>
      </w:pPr>
      <w:r w:rsidRPr="008B1F82">
        <w:rPr>
          <w:sz w:val="22"/>
          <w:szCs w:val="22"/>
        </w:rPr>
        <w:t xml:space="preserve">Minimum </w:t>
      </w:r>
      <w:r w:rsidR="00B9604C">
        <w:rPr>
          <w:sz w:val="22"/>
          <w:szCs w:val="22"/>
        </w:rPr>
        <w:t>24</w:t>
      </w:r>
      <w:r w:rsidRPr="008B1F82">
        <w:rPr>
          <w:sz w:val="22"/>
          <w:szCs w:val="22"/>
        </w:rPr>
        <w:t xml:space="preserve"> miesi</w:t>
      </w:r>
      <w:r w:rsidR="00C044E8">
        <w:rPr>
          <w:sz w:val="22"/>
          <w:szCs w:val="22"/>
        </w:rPr>
        <w:t>ęcy</w:t>
      </w:r>
      <w:r w:rsidRPr="008B1F82">
        <w:rPr>
          <w:sz w:val="22"/>
          <w:szCs w:val="22"/>
        </w:rPr>
        <w:t xml:space="preserve"> od daty podpisania protokołu odbioru. </w:t>
      </w:r>
    </w:p>
    <w:p w14:paraId="164E8B74" w14:textId="77777777" w:rsidR="002F7D8A" w:rsidRPr="000A55E4" w:rsidRDefault="002F7D8A" w:rsidP="008B1F82">
      <w:pPr>
        <w:pStyle w:val="Heading1"/>
      </w:pPr>
      <w:r w:rsidRPr="000A55E4">
        <w:t xml:space="preserve">Serwis: </w:t>
      </w:r>
    </w:p>
    <w:p w14:paraId="221E1BB3" w14:textId="413B6155" w:rsidR="002F7D8A" w:rsidRPr="008B1F82" w:rsidRDefault="002F7D8A" w:rsidP="004172AB">
      <w:pPr>
        <w:pStyle w:val="Heading2"/>
        <w:numPr>
          <w:ilvl w:val="1"/>
          <w:numId w:val="5"/>
        </w:numPr>
        <w:ind w:left="851" w:hanging="425"/>
        <w:rPr>
          <w:sz w:val="22"/>
          <w:szCs w:val="22"/>
        </w:rPr>
      </w:pPr>
      <w:r w:rsidRPr="008B1F82">
        <w:rPr>
          <w:sz w:val="22"/>
          <w:szCs w:val="22"/>
        </w:rPr>
        <w:t>Czas reakcji serwisu w okresie gwarancyjnym maksymalnie 72 godziny od momentu zgłoszenia.</w:t>
      </w:r>
    </w:p>
    <w:p w14:paraId="781976B1" w14:textId="62E63C21" w:rsidR="002F7D8A" w:rsidRPr="008B1F82" w:rsidRDefault="002F7D8A" w:rsidP="004172AB">
      <w:pPr>
        <w:pStyle w:val="Heading2"/>
        <w:numPr>
          <w:ilvl w:val="1"/>
          <w:numId w:val="5"/>
        </w:numPr>
        <w:ind w:left="851" w:hanging="425"/>
        <w:rPr>
          <w:sz w:val="22"/>
          <w:szCs w:val="22"/>
        </w:rPr>
      </w:pPr>
      <w:r w:rsidRPr="008B1F82">
        <w:rPr>
          <w:sz w:val="22"/>
          <w:szCs w:val="22"/>
        </w:rPr>
        <w:t>Maksymalny czas naprawy: 14 dni roboczych od momentu zgłoszenia</w:t>
      </w:r>
      <w:r w:rsidR="008B1F82">
        <w:rPr>
          <w:sz w:val="22"/>
          <w:szCs w:val="22"/>
        </w:rPr>
        <w:t xml:space="preserve"> urządzenia do naprawy</w:t>
      </w:r>
      <w:r w:rsidRPr="008B1F82">
        <w:rPr>
          <w:sz w:val="22"/>
          <w:szCs w:val="22"/>
        </w:rPr>
        <w:t>.</w:t>
      </w:r>
    </w:p>
    <w:sectPr w:rsidR="002F7D8A" w:rsidRPr="008B1F82" w:rsidSect="001F0BE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A2BB" w14:textId="77777777" w:rsidR="008D1032" w:rsidRDefault="008D1032" w:rsidP="00ED1BDF">
      <w:r>
        <w:separator/>
      </w:r>
    </w:p>
    <w:p w14:paraId="6B78D186" w14:textId="77777777" w:rsidR="008D1032" w:rsidRDefault="008D1032"/>
  </w:endnote>
  <w:endnote w:type="continuationSeparator" w:id="0">
    <w:p w14:paraId="5EB0B6C0" w14:textId="77777777" w:rsidR="008D1032" w:rsidRDefault="008D1032" w:rsidP="00ED1BDF">
      <w:r>
        <w:continuationSeparator/>
      </w:r>
    </w:p>
    <w:p w14:paraId="3C5FBC9E" w14:textId="77777777" w:rsidR="008D1032" w:rsidRDefault="008D1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8E61" w14:textId="77777777" w:rsidR="001F0BE2" w:rsidRDefault="001F0BE2">
    <w:pPr>
      <w:pStyle w:val="Footer"/>
    </w:pPr>
  </w:p>
  <w:p w14:paraId="3FEAC83A" w14:textId="77777777" w:rsidR="001F71C4" w:rsidRDefault="001F71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4623" w14:textId="30F37297" w:rsidR="001F71C4" w:rsidRPr="001F0BE2" w:rsidRDefault="00C9526F" w:rsidP="001F0BE2">
    <w:pPr>
      <w:pBdr>
        <w:top w:val="single" w:sz="4" w:space="1" w:color="auto"/>
      </w:pBdr>
      <w:tabs>
        <w:tab w:val="left" w:pos="2028"/>
        <w:tab w:val="center" w:pos="4677"/>
        <w:tab w:val="left" w:pos="6901"/>
      </w:tabs>
      <w:spacing w:before="120"/>
      <w:jc w:val="center"/>
      <w:rPr>
        <w:rFonts w:ascii="Times New Roman" w:hAnsi="Times New Roman"/>
        <w:sz w:val="20"/>
        <w:szCs w:val="20"/>
      </w:rPr>
    </w:pPr>
    <w:r w:rsidRPr="00CE3C90">
      <w:rPr>
        <w:rFonts w:ascii="Times New Roman" w:hAnsi="Times New Roman"/>
        <w:sz w:val="20"/>
        <w:szCs w:val="20"/>
      </w:rPr>
      <w:t xml:space="preserve">Strona </w:t>
    </w:r>
    <w:r w:rsidR="001E59DB" w:rsidRPr="00CE3C90">
      <w:rPr>
        <w:rFonts w:ascii="Times New Roman" w:hAnsi="Times New Roman"/>
        <w:sz w:val="20"/>
        <w:szCs w:val="20"/>
      </w:rPr>
      <w:fldChar w:fldCharType="begin"/>
    </w:r>
    <w:r w:rsidRPr="00CE3C90">
      <w:rPr>
        <w:rFonts w:ascii="Times New Roman" w:hAnsi="Times New Roman"/>
        <w:sz w:val="20"/>
        <w:szCs w:val="20"/>
      </w:rPr>
      <w:instrText>PAGE   \* MERGEFORMAT</w:instrText>
    </w:r>
    <w:r w:rsidR="001E59DB" w:rsidRPr="00CE3C90">
      <w:rPr>
        <w:rFonts w:ascii="Times New Roman" w:hAnsi="Times New Roman"/>
        <w:sz w:val="20"/>
        <w:szCs w:val="20"/>
      </w:rPr>
      <w:fldChar w:fldCharType="separate"/>
    </w:r>
    <w:r w:rsidR="00E76473">
      <w:rPr>
        <w:rFonts w:ascii="Times New Roman" w:hAnsi="Times New Roman"/>
        <w:noProof/>
        <w:sz w:val="20"/>
        <w:szCs w:val="20"/>
      </w:rPr>
      <w:t>1</w:t>
    </w:r>
    <w:r w:rsidR="001E59DB" w:rsidRPr="00CE3C90">
      <w:rPr>
        <w:rFonts w:ascii="Times New Roman" w:hAnsi="Times New Roman"/>
        <w:sz w:val="20"/>
        <w:szCs w:val="20"/>
      </w:rPr>
      <w:fldChar w:fldCharType="end"/>
    </w:r>
    <w:r w:rsidRPr="00CE3C90">
      <w:rPr>
        <w:rFonts w:ascii="Times New Roman" w:hAnsi="Times New Roman"/>
        <w:sz w:val="20"/>
        <w:szCs w:val="20"/>
      </w:rPr>
      <w:t xml:space="preserve"> z </w:t>
    </w:r>
    <w:r w:rsidR="008D0CAD" w:rsidRPr="00CE3C90">
      <w:rPr>
        <w:rFonts w:ascii="Times New Roman" w:hAnsi="Times New Roman"/>
        <w:sz w:val="20"/>
        <w:szCs w:val="20"/>
      </w:rPr>
      <w:fldChar w:fldCharType="begin"/>
    </w:r>
    <w:r w:rsidR="008D0CAD" w:rsidRPr="00CE3C90">
      <w:rPr>
        <w:rFonts w:ascii="Times New Roman" w:hAnsi="Times New Roman"/>
        <w:sz w:val="20"/>
        <w:szCs w:val="20"/>
      </w:rPr>
      <w:instrText>NUMPAGES  \* Arabic  \* MERGEFORMAT</w:instrText>
    </w:r>
    <w:r w:rsidR="008D0CAD" w:rsidRPr="00CE3C90">
      <w:rPr>
        <w:rFonts w:ascii="Times New Roman" w:hAnsi="Times New Roman"/>
        <w:sz w:val="20"/>
        <w:szCs w:val="20"/>
      </w:rPr>
      <w:fldChar w:fldCharType="separate"/>
    </w:r>
    <w:r w:rsidR="00E76473">
      <w:rPr>
        <w:rFonts w:ascii="Times New Roman" w:hAnsi="Times New Roman"/>
        <w:noProof/>
        <w:sz w:val="20"/>
        <w:szCs w:val="20"/>
      </w:rPr>
      <w:t>2</w:t>
    </w:r>
    <w:r w:rsidR="008D0CAD" w:rsidRPr="00CE3C90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8D5E" w14:textId="77777777" w:rsidR="008D1032" w:rsidRDefault="008D1032" w:rsidP="00ED1BDF">
      <w:r>
        <w:separator/>
      </w:r>
    </w:p>
    <w:p w14:paraId="49165259" w14:textId="77777777" w:rsidR="008D1032" w:rsidRDefault="008D1032"/>
  </w:footnote>
  <w:footnote w:type="continuationSeparator" w:id="0">
    <w:p w14:paraId="6217B809" w14:textId="77777777" w:rsidR="008D1032" w:rsidRDefault="008D1032" w:rsidP="00ED1BDF">
      <w:r>
        <w:continuationSeparator/>
      </w:r>
    </w:p>
    <w:p w14:paraId="42FC0A82" w14:textId="77777777" w:rsidR="008D1032" w:rsidRDefault="008D1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A7EB" w14:textId="77777777" w:rsidR="001F0BE2" w:rsidRDefault="001F0BE2">
    <w:pPr>
      <w:pStyle w:val="Header"/>
    </w:pPr>
  </w:p>
  <w:p w14:paraId="76DFB5F7" w14:textId="77777777" w:rsidR="001F71C4" w:rsidRDefault="001F71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119"/>
    </w:tblGrid>
    <w:tr w:rsidR="00155C02" w:rsidRPr="00155C02" w14:paraId="4CBD8333" w14:textId="77777777" w:rsidTr="001F0BE2">
      <w:tc>
        <w:tcPr>
          <w:tcW w:w="6232" w:type="dxa"/>
        </w:tcPr>
        <w:p w14:paraId="54DD0E7D" w14:textId="77777777" w:rsidR="001F0BE2" w:rsidRPr="001F0BE2" w:rsidRDefault="001F0BE2" w:rsidP="001F0BE2">
          <w:pPr>
            <w:suppressLineNumbers/>
            <w:tabs>
              <w:tab w:val="center" w:pos="4536"/>
              <w:tab w:val="right" w:pos="9072"/>
            </w:tabs>
            <w:autoSpaceDN w:val="0"/>
            <w:ind w:left="-120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1F0BE2">
            <w:rPr>
              <w:rFonts w:ascii="Times New Roman" w:hAnsi="Times New Roman"/>
              <w:sz w:val="22"/>
              <w:szCs w:val="22"/>
            </w:rPr>
            <w:t>Załącznik Nr 1 do SWZ</w:t>
          </w:r>
        </w:p>
      </w:tc>
      <w:tc>
        <w:tcPr>
          <w:tcW w:w="3119" w:type="dxa"/>
        </w:tcPr>
        <w:p w14:paraId="7092D9E1" w14:textId="13E98477" w:rsidR="001F0BE2" w:rsidRPr="00155C02" w:rsidRDefault="001F0BE2" w:rsidP="005F43EF">
          <w:pPr>
            <w:suppressLineNumbers/>
            <w:tabs>
              <w:tab w:val="center" w:pos="4536"/>
              <w:tab w:val="right" w:pos="9072"/>
            </w:tabs>
            <w:autoSpaceDN w:val="0"/>
            <w:ind w:right="-119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155C02">
            <w:rPr>
              <w:rFonts w:ascii="Times New Roman" w:hAnsi="Times New Roman"/>
              <w:sz w:val="22"/>
              <w:szCs w:val="22"/>
            </w:rPr>
            <w:t xml:space="preserve">Znak sprawy: </w:t>
          </w:r>
          <w:r w:rsidRPr="00155C02">
            <w:rPr>
              <w:rFonts w:ascii="Times New Roman" w:hAnsi="Times New Roman"/>
              <w:b/>
              <w:bCs/>
              <w:sz w:val="22"/>
              <w:szCs w:val="22"/>
            </w:rPr>
            <w:t>ZP-2401-</w:t>
          </w:r>
          <w:r w:rsidR="00155C02" w:rsidRPr="00155C02">
            <w:rPr>
              <w:rFonts w:ascii="Times New Roman" w:hAnsi="Times New Roman"/>
              <w:b/>
              <w:bCs/>
              <w:sz w:val="22"/>
              <w:szCs w:val="22"/>
            </w:rPr>
            <w:t>15</w:t>
          </w:r>
          <w:r w:rsidRPr="00155C02">
            <w:rPr>
              <w:rFonts w:ascii="Times New Roman" w:hAnsi="Times New Roman"/>
              <w:b/>
              <w:bCs/>
              <w:sz w:val="22"/>
              <w:szCs w:val="22"/>
            </w:rPr>
            <w:t>/21</w:t>
          </w:r>
        </w:p>
      </w:tc>
    </w:tr>
  </w:tbl>
  <w:p w14:paraId="1D5F1C1D" w14:textId="77777777" w:rsidR="00CB1875" w:rsidRPr="00A77367" w:rsidRDefault="00CB1875" w:rsidP="002F4DFF">
    <w:pPr>
      <w:suppressLineNumbers/>
      <w:pBdr>
        <w:bottom w:val="single" w:sz="4" w:space="1" w:color="auto"/>
      </w:pBdr>
      <w:tabs>
        <w:tab w:val="center" w:pos="4536"/>
        <w:tab w:val="right" w:pos="9072"/>
      </w:tabs>
      <w:autoSpaceDN w:val="0"/>
      <w:spacing w:after="120"/>
      <w:textAlignment w:val="baseline"/>
      <w:rPr>
        <w:rFonts w:ascii="Times New Roman" w:hAnsi="Times New Roman"/>
        <w:color w:val="000000"/>
        <w:kern w:val="3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3999"/>
    <w:multiLevelType w:val="multilevel"/>
    <w:tmpl w:val="3D8A52C2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pStyle w:val="Heading2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3D285B9D"/>
    <w:multiLevelType w:val="hybridMultilevel"/>
    <w:tmpl w:val="D5C23026"/>
    <w:lvl w:ilvl="0" w:tplc="A64AE442">
      <w:start w:val="1"/>
      <w:numFmt w:val="decimal"/>
      <w:pStyle w:val="Heading1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D42FC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D5"/>
    <w:rsid w:val="00013272"/>
    <w:rsid w:val="00017ED4"/>
    <w:rsid w:val="000457FD"/>
    <w:rsid w:val="00045AA8"/>
    <w:rsid w:val="0005236D"/>
    <w:rsid w:val="000579B0"/>
    <w:rsid w:val="00061C9C"/>
    <w:rsid w:val="000A2FB3"/>
    <w:rsid w:val="000A55E4"/>
    <w:rsid w:val="000B6EE0"/>
    <w:rsid w:val="00106F2E"/>
    <w:rsid w:val="00124970"/>
    <w:rsid w:val="00155C02"/>
    <w:rsid w:val="001935EB"/>
    <w:rsid w:val="0019580A"/>
    <w:rsid w:val="001C2288"/>
    <w:rsid w:val="001E0206"/>
    <w:rsid w:val="001E23D4"/>
    <w:rsid w:val="001E48D5"/>
    <w:rsid w:val="001E59DB"/>
    <w:rsid w:val="001E5B6E"/>
    <w:rsid w:val="001F0BE2"/>
    <w:rsid w:val="001F3C2E"/>
    <w:rsid w:val="001F4A45"/>
    <w:rsid w:val="001F71C4"/>
    <w:rsid w:val="00202D37"/>
    <w:rsid w:val="0022764D"/>
    <w:rsid w:val="00237DB2"/>
    <w:rsid w:val="0024797A"/>
    <w:rsid w:val="00274564"/>
    <w:rsid w:val="0029731F"/>
    <w:rsid w:val="002A53E1"/>
    <w:rsid w:val="002A7578"/>
    <w:rsid w:val="002B1441"/>
    <w:rsid w:val="002B287B"/>
    <w:rsid w:val="002C5C76"/>
    <w:rsid w:val="002F1731"/>
    <w:rsid w:val="002F4DFF"/>
    <w:rsid w:val="002F7D8A"/>
    <w:rsid w:val="003024A6"/>
    <w:rsid w:val="00306363"/>
    <w:rsid w:val="00312B04"/>
    <w:rsid w:val="003139BE"/>
    <w:rsid w:val="00324C74"/>
    <w:rsid w:val="00345F95"/>
    <w:rsid w:val="003603B7"/>
    <w:rsid w:val="00371932"/>
    <w:rsid w:val="003778C1"/>
    <w:rsid w:val="003852F2"/>
    <w:rsid w:val="003869BF"/>
    <w:rsid w:val="003C5563"/>
    <w:rsid w:val="003C6F43"/>
    <w:rsid w:val="003F18BE"/>
    <w:rsid w:val="003F53A8"/>
    <w:rsid w:val="004172AB"/>
    <w:rsid w:val="004318EE"/>
    <w:rsid w:val="00432FCE"/>
    <w:rsid w:val="0044540C"/>
    <w:rsid w:val="00455530"/>
    <w:rsid w:val="00477F89"/>
    <w:rsid w:val="004875BB"/>
    <w:rsid w:val="00496230"/>
    <w:rsid w:val="004C1374"/>
    <w:rsid w:val="004C2BE1"/>
    <w:rsid w:val="004C75BF"/>
    <w:rsid w:val="004E3DCB"/>
    <w:rsid w:val="004E7B50"/>
    <w:rsid w:val="00510212"/>
    <w:rsid w:val="00530FEA"/>
    <w:rsid w:val="00534805"/>
    <w:rsid w:val="005575D7"/>
    <w:rsid w:val="005576A1"/>
    <w:rsid w:val="005754D9"/>
    <w:rsid w:val="00590358"/>
    <w:rsid w:val="005F277A"/>
    <w:rsid w:val="005F43EF"/>
    <w:rsid w:val="00605476"/>
    <w:rsid w:val="00605CE4"/>
    <w:rsid w:val="0060713A"/>
    <w:rsid w:val="0061577C"/>
    <w:rsid w:val="00617432"/>
    <w:rsid w:val="006234AB"/>
    <w:rsid w:val="00631B2E"/>
    <w:rsid w:val="00644522"/>
    <w:rsid w:val="006474D9"/>
    <w:rsid w:val="00650764"/>
    <w:rsid w:val="006519F1"/>
    <w:rsid w:val="00661400"/>
    <w:rsid w:val="00661A3D"/>
    <w:rsid w:val="00661A47"/>
    <w:rsid w:val="00672F36"/>
    <w:rsid w:val="00675E49"/>
    <w:rsid w:val="00680958"/>
    <w:rsid w:val="00681761"/>
    <w:rsid w:val="006C1C14"/>
    <w:rsid w:val="006C1D61"/>
    <w:rsid w:val="006D0286"/>
    <w:rsid w:val="006E328F"/>
    <w:rsid w:val="006E57AB"/>
    <w:rsid w:val="006E62A9"/>
    <w:rsid w:val="006F2A98"/>
    <w:rsid w:val="006F74C9"/>
    <w:rsid w:val="0071025F"/>
    <w:rsid w:val="0072181E"/>
    <w:rsid w:val="00722003"/>
    <w:rsid w:val="007423F3"/>
    <w:rsid w:val="007603AB"/>
    <w:rsid w:val="007A17DA"/>
    <w:rsid w:val="007A2B66"/>
    <w:rsid w:val="007A563B"/>
    <w:rsid w:val="007C4AA6"/>
    <w:rsid w:val="00831574"/>
    <w:rsid w:val="00843CBC"/>
    <w:rsid w:val="008775A0"/>
    <w:rsid w:val="008850BD"/>
    <w:rsid w:val="008B1F82"/>
    <w:rsid w:val="008B229D"/>
    <w:rsid w:val="008B2FC1"/>
    <w:rsid w:val="008D0CAD"/>
    <w:rsid w:val="008D1032"/>
    <w:rsid w:val="008D7300"/>
    <w:rsid w:val="009102DC"/>
    <w:rsid w:val="00913AEF"/>
    <w:rsid w:val="009240AB"/>
    <w:rsid w:val="00924118"/>
    <w:rsid w:val="00952566"/>
    <w:rsid w:val="00962EC9"/>
    <w:rsid w:val="00997E58"/>
    <w:rsid w:val="009A0F95"/>
    <w:rsid w:val="009A58E3"/>
    <w:rsid w:val="009A66BC"/>
    <w:rsid w:val="009D4765"/>
    <w:rsid w:val="009F0E93"/>
    <w:rsid w:val="009F5DD5"/>
    <w:rsid w:val="009F61D9"/>
    <w:rsid w:val="00A03E10"/>
    <w:rsid w:val="00A06B85"/>
    <w:rsid w:val="00A539CF"/>
    <w:rsid w:val="00A710DD"/>
    <w:rsid w:val="00A7261F"/>
    <w:rsid w:val="00A746B1"/>
    <w:rsid w:val="00A77367"/>
    <w:rsid w:val="00A84744"/>
    <w:rsid w:val="00AB1AD9"/>
    <w:rsid w:val="00AC0D89"/>
    <w:rsid w:val="00AC50AB"/>
    <w:rsid w:val="00AC786F"/>
    <w:rsid w:val="00AD6A02"/>
    <w:rsid w:val="00AE4863"/>
    <w:rsid w:val="00AE7600"/>
    <w:rsid w:val="00AF6F1C"/>
    <w:rsid w:val="00B02C5A"/>
    <w:rsid w:val="00B06D98"/>
    <w:rsid w:val="00B21260"/>
    <w:rsid w:val="00B24288"/>
    <w:rsid w:val="00B3527A"/>
    <w:rsid w:val="00B553F2"/>
    <w:rsid w:val="00B8637B"/>
    <w:rsid w:val="00B9604C"/>
    <w:rsid w:val="00BB2ADD"/>
    <w:rsid w:val="00BC1C3F"/>
    <w:rsid w:val="00BC26C9"/>
    <w:rsid w:val="00BD0AD1"/>
    <w:rsid w:val="00BE2844"/>
    <w:rsid w:val="00BE5727"/>
    <w:rsid w:val="00BF14CB"/>
    <w:rsid w:val="00BF17C6"/>
    <w:rsid w:val="00C044E8"/>
    <w:rsid w:val="00C34FCC"/>
    <w:rsid w:val="00C455BF"/>
    <w:rsid w:val="00C477ED"/>
    <w:rsid w:val="00C50610"/>
    <w:rsid w:val="00C50AC4"/>
    <w:rsid w:val="00C51130"/>
    <w:rsid w:val="00C627E7"/>
    <w:rsid w:val="00C74357"/>
    <w:rsid w:val="00C81BE2"/>
    <w:rsid w:val="00C920C4"/>
    <w:rsid w:val="00C9526F"/>
    <w:rsid w:val="00CB1875"/>
    <w:rsid w:val="00CC0D97"/>
    <w:rsid w:val="00CC5734"/>
    <w:rsid w:val="00CE3C90"/>
    <w:rsid w:val="00CF496B"/>
    <w:rsid w:val="00D03DD8"/>
    <w:rsid w:val="00D05156"/>
    <w:rsid w:val="00D32618"/>
    <w:rsid w:val="00D47564"/>
    <w:rsid w:val="00D544BF"/>
    <w:rsid w:val="00D672DB"/>
    <w:rsid w:val="00D71C9B"/>
    <w:rsid w:val="00D80A8F"/>
    <w:rsid w:val="00D90653"/>
    <w:rsid w:val="00DB15E9"/>
    <w:rsid w:val="00DD1ED8"/>
    <w:rsid w:val="00E02455"/>
    <w:rsid w:val="00E16A14"/>
    <w:rsid w:val="00E42BCE"/>
    <w:rsid w:val="00E56D2A"/>
    <w:rsid w:val="00E63048"/>
    <w:rsid w:val="00E76473"/>
    <w:rsid w:val="00E82FD9"/>
    <w:rsid w:val="00E906C5"/>
    <w:rsid w:val="00EA1E3A"/>
    <w:rsid w:val="00EB03A4"/>
    <w:rsid w:val="00EB5875"/>
    <w:rsid w:val="00EC5AB0"/>
    <w:rsid w:val="00ED1BDF"/>
    <w:rsid w:val="00ED727B"/>
    <w:rsid w:val="00EF7360"/>
    <w:rsid w:val="00F05647"/>
    <w:rsid w:val="00F06232"/>
    <w:rsid w:val="00F0778D"/>
    <w:rsid w:val="00F243A3"/>
    <w:rsid w:val="00F37969"/>
    <w:rsid w:val="00F63BA0"/>
    <w:rsid w:val="00F7030B"/>
    <w:rsid w:val="00F83E4F"/>
    <w:rsid w:val="00F959BF"/>
    <w:rsid w:val="00FB59C1"/>
    <w:rsid w:val="00FC09A0"/>
    <w:rsid w:val="00FD3776"/>
    <w:rsid w:val="00F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A0C54"/>
  <w15:docId w15:val="{6550D8B7-1D19-4F9B-9721-B9E9915D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8B1F82"/>
    <w:pPr>
      <w:numPr>
        <w:numId w:val="2"/>
      </w:numPr>
      <w:spacing w:before="240" w:after="120" w:line="276" w:lineRule="auto"/>
      <w:ind w:left="425" w:hanging="357"/>
      <w:contextualSpacing w:val="0"/>
      <w:jc w:val="both"/>
      <w:outlineLvl w:val="0"/>
    </w:pPr>
    <w:rPr>
      <w:rFonts w:ascii="Times New Roman" w:hAnsi="Times New Roman"/>
      <w:b/>
      <w:bCs/>
      <w:sz w:val="22"/>
      <w:szCs w:val="22"/>
      <w:lang w:val="cs-CZ"/>
    </w:rPr>
  </w:style>
  <w:style w:type="paragraph" w:styleId="Heading2">
    <w:name w:val="heading 2"/>
    <w:basedOn w:val="ListParagraph"/>
    <w:link w:val="Heading2Char"/>
    <w:uiPriority w:val="9"/>
    <w:qFormat/>
    <w:rsid w:val="000457FD"/>
    <w:pPr>
      <w:numPr>
        <w:ilvl w:val="1"/>
        <w:numId w:val="1"/>
      </w:numPr>
      <w:autoSpaceDN w:val="0"/>
      <w:spacing w:after="120" w:line="276" w:lineRule="auto"/>
      <w:contextualSpacing w:val="0"/>
      <w:jc w:val="both"/>
      <w:textAlignment w:val="baseline"/>
      <w:outlineLvl w:val="1"/>
    </w:pPr>
    <w:rPr>
      <w:rFonts w:ascii="Times New Roman" w:hAnsi="Times New Roman"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8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zacznik">
    <w:name w:val="a3.załącznik"/>
    <w:basedOn w:val="BodyText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847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link w:val="StandardZnak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457FD"/>
    <w:rPr>
      <w:rFonts w:ascii="Times New Roman" w:eastAsia="Calibri" w:hAnsi="Times New Roman" w:cs="Times New Roman"/>
      <w:bCs/>
      <w:sz w:val="24"/>
      <w:szCs w:val="24"/>
      <w:lang w:val="cs-CZ" w:eastAsia="ar-SA"/>
    </w:rPr>
  </w:style>
  <w:style w:type="character" w:styleId="Hyperlink">
    <w:name w:val="Hyperlink"/>
    <w:basedOn w:val="DefaultParagraphFont"/>
    <w:uiPriority w:val="99"/>
    <w:unhideWhenUsed/>
    <w:rsid w:val="00E82FD9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E82F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nhideWhenUsed/>
    <w:rsid w:val="00E82F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F277A"/>
    <w:pPr>
      <w:ind w:left="720"/>
      <w:contextualSpacing/>
    </w:pPr>
  </w:style>
  <w:style w:type="table" w:styleId="TableGrid">
    <w:name w:val="Table Grid"/>
    <w:basedOn w:val="TableNormal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E23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E4863"/>
    <w:rPr>
      <w:color w:val="605E5C"/>
      <w:shd w:val="clear" w:color="auto" w:fill="E1DFDD"/>
    </w:rPr>
  </w:style>
  <w:style w:type="character" w:customStyle="1" w:styleId="h1">
    <w:name w:val="h1"/>
    <w:basedOn w:val="DefaultParagraphFont"/>
    <w:rsid w:val="00644522"/>
  </w:style>
  <w:style w:type="paragraph" w:customStyle="1" w:styleId="Textbodyindent">
    <w:name w:val="Text body indent"/>
    <w:basedOn w:val="Standard"/>
    <w:rsid w:val="006445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8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numbering" w:customStyle="1" w:styleId="WW8Num1">
    <w:name w:val="WW8Num1"/>
    <w:basedOn w:val="NoList"/>
    <w:rsid w:val="004318EE"/>
    <w:pPr>
      <w:numPr>
        <w:numId w:val="1"/>
      </w:numPr>
    </w:pPr>
  </w:style>
  <w:style w:type="character" w:customStyle="1" w:styleId="StandardZnak">
    <w:name w:val="Standard Znak"/>
    <w:basedOn w:val="DefaultParagraphFont"/>
    <w:link w:val="Standard"/>
    <w:rsid w:val="004318EE"/>
    <w:rPr>
      <w:rFonts w:ascii="Calibri" w:eastAsia="Calibri" w:hAnsi="Calibri" w:cs="Calibri"/>
      <w:color w:val="000000"/>
      <w:kern w:val="3"/>
      <w:lang w:eastAsia="pl-P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2B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2BE1"/>
    <w:rPr>
      <w:rFonts w:ascii="Verdana" w:eastAsia="Calibri" w:hAnsi="Verdana" w:cs="Times New Roman"/>
      <w:sz w:val="16"/>
      <w:szCs w:val="16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511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51130"/>
    <w:rPr>
      <w:rFonts w:ascii="Verdana" w:eastAsia="Calibri" w:hAnsi="Verdana" w:cs="Times New Roman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B1F82"/>
    <w:rPr>
      <w:rFonts w:ascii="Times New Roman" w:eastAsia="Calibri" w:hAnsi="Times New Roman" w:cs="Times New Roman"/>
      <w:b/>
      <w:bCs/>
      <w:lang w:val="cs-CZ" w:eastAsia="ar-SA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E48D5"/>
    <w:pPr>
      <w:ind w:left="851" w:hanging="425"/>
    </w:pPr>
  </w:style>
  <w:style w:type="character" w:customStyle="1" w:styleId="SubtitleChar">
    <w:name w:val="Subtitle Char"/>
    <w:basedOn w:val="DefaultParagraphFont"/>
    <w:link w:val="Subtitle"/>
    <w:uiPriority w:val="11"/>
    <w:rsid w:val="001E48D5"/>
    <w:rPr>
      <w:rFonts w:ascii="Times New Roman" w:eastAsia="Calibri" w:hAnsi="Times New Roman" w:cs="Times New Roman"/>
      <w:bCs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BF97-015E-4D19-B593-9BD2150A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Przemyslaw Gawel</cp:lastModifiedBy>
  <cp:revision>3</cp:revision>
  <dcterms:created xsi:type="dcterms:W3CDTF">2021-11-22T11:34:00Z</dcterms:created>
  <dcterms:modified xsi:type="dcterms:W3CDTF">2021-11-22T12:23:00Z</dcterms:modified>
</cp:coreProperties>
</file>